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93" w:rsidRDefault="00441DE8">
      <w:pPr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color w:val="000000" w:themeColor="text1"/>
          <w:sz w:val="32"/>
          <w:szCs w:val="32"/>
        </w:rPr>
        <w:t>附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件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4</w:t>
      </w:r>
    </w:p>
    <w:p w:rsidR="007C3993" w:rsidRDefault="007C3993">
      <w:pPr>
        <w:spacing w:line="560" w:lineRule="exact"/>
        <w:rPr>
          <w:rFonts w:ascii="Times New Roman" w:eastAsia="黑体" w:hAnsi="Times New Roman"/>
          <w:color w:val="000000" w:themeColor="text1"/>
          <w:sz w:val="28"/>
          <w:szCs w:val="28"/>
        </w:rPr>
      </w:pPr>
    </w:p>
    <w:p w:rsidR="007C3993" w:rsidRDefault="00441DE8">
      <w:pPr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202</w:t>
      </w: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3</w:t>
      </w: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年全国普通高等学校美术教育专业</w:t>
      </w:r>
    </w:p>
    <w:p w:rsidR="007C3993" w:rsidRDefault="00441DE8">
      <w:pPr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  <w:t>教师基本功展示方案</w:t>
      </w:r>
    </w:p>
    <w:p w:rsidR="007C3993" w:rsidRDefault="007C3993">
      <w:pPr>
        <w:spacing w:line="560" w:lineRule="exact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7C3993" w:rsidRDefault="00441DE8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202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年全国普通高等学校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美术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教育专业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教师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基本功展示包括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教学展示（微课）、专业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技能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展示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审美和人文素养展示（经典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美术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作品赏析）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社会实践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所有参展教师均须参加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四个项目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。</w:t>
      </w:r>
    </w:p>
    <w:p w:rsidR="007C3993" w:rsidRDefault="00441DE8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一、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28"/>
        </w:rPr>
        <w:t>教学展示（微课）（满分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28"/>
        </w:rPr>
        <w:t>100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28"/>
        </w:rPr>
        <w:t>分）</w:t>
      </w:r>
    </w:p>
    <w:p w:rsidR="007C3993" w:rsidRDefault="00441DE8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教学展示（微课）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应</w:t>
      </w:r>
      <w:r>
        <w:rPr>
          <w:rFonts w:ascii="Times New Roman" w:eastAsia="仿宋_GB2312" w:hAnsi="Times New Roman"/>
          <w:sz w:val="32"/>
          <w:szCs w:val="32"/>
        </w:rPr>
        <w:t>遵循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学生成长规律、</w:t>
      </w:r>
      <w:r>
        <w:rPr>
          <w:rFonts w:ascii="Times New Roman" w:eastAsia="仿宋_GB2312" w:hAnsi="Times New Roman"/>
          <w:sz w:val="32"/>
          <w:szCs w:val="32"/>
        </w:rPr>
        <w:t>教育规律和美育特点，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展示教师的师德师风、业务能力、综合素养。内容应在参展教师主讲课程中选择，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以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授课录像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的方式展示，并提交教学设计的书面材料。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具体要求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如下。</w:t>
      </w:r>
    </w:p>
    <w:p w:rsidR="007C3993" w:rsidRDefault="00441DE8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一）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教学设计。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应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为原创，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体现课程教学理念、设计思路和教学特色，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根据规范的教案格式与内容进行撰写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教学设计需注明课程名称、所授年级、使用的教材版本等。</w:t>
      </w:r>
    </w:p>
    <w:p w:rsidR="007C3993" w:rsidRDefault="00441DE8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（二）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教学视频。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时长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15—20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分钟，须在真实的高校课堂教学环境中录制。格式为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MP4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或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MOV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大小不超过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700M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要求单机位固定拍摄，课程内容完整且连续录制，不能剪辑；视频与音响需同步录制，人物突出、图像清晰、构图合理、声音清楚。视频片头应显示课程名称、所授年级、使用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的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教材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版本等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个人信息在报送系统填写，视频中不能显示教师姓名、职称、所在学校等信息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7C3993" w:rsidRDefault="00441DE8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lastRenderedPageBreak/>
        <w:t>二</w:t>
      </w:r>
      <w:r>
        <w:rPr>
          <w:rFonts w:ascii="Times New Roman" w:eastAsia="黑体" w:hAnsi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专业技能展示（满分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100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分）</w:t>
      </w:r>
    </w:p>
    <w:p w:rsidR="007C3993" w:rsidRDefault="00441DE8">
      <w:pPr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专业技能展示项目为命题创作，时间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150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分钟。参展教师根据命题，在造型表现和设计应用中选择一类进行创作。其中，造型表现类包括：中国画、素描、油画、水彩画、水粉画、丙烯画、版画（可选木板或胶板）、雕塑、立体纸艺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、民间美术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；设计应用类包括：视觉传达设计、环境设计、产品设计、服装设计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、数字媒体艺术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。设计应用类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须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同时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提交不超过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字的作品创作思路说明。</w:t>
      </w:r>
    </w:p>
    <w:p w:rsidR="007C3993" w:rsidRDefault="00441DE8">
      <w:pPr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作品规格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：中国画为宣纸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尺对开斗方，约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69×68cm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；素描、水彩、水粉、丙烯画为对开画纸；油画为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60×80cm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；版画为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开画纸；雕塑为泥塑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作品三维尺度（高、宽、厚）不超过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30CM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；立体纸艺为用三张黑白灰卡纸完成一件手工作品；设计应用为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开画纸手绘，约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54×38 cm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各类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纸张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、雕塑用泥及版画用的胶板或木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统一提供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数字媒体艺术由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提供计算机和相关软件。民间美术可提前自备材料。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其他美术材料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工具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由参展学校自备。</w:t>
      </w:r>
    </w:p>
    <w:p w:rsidR="007C3993" w:rsidRDefault="00441DE8">
      <w:pPr>
        <w:spacing w:line="560" w:lineRule="exact"/>
        <w:ind w:firstLineChars="200" w:firstLine="640"/>
        <w:jc w:val="left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三、审美和人文素养展示（经典美术作品赏析）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满分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100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分）</w:t>
      </w:r>
    </w:p>
    <w:p w:rsidR="007C3993" w:rsidRDefault="00441DE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参展教师现场抽签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1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幅经典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美术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作品（提前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15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分钟抽签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，中国经典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美术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作品占比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，外国经典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美术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作品占比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），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对作品进行分析、阐述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，限时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分钟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。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作品阐释要体现参展教师的专业素养和文化底蕴，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充分发挥美育陶冶情操、温润心灵、激发创新创造活力的价值功能，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简述作品所具有的育人价值以及教学理念与实施构想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阐明如何通过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作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品赏析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帮助学生树立正确的世界观、人生观、价值观、审美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8"/>
        </w:rPr>
        <w:t>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8"/>
        </w:rPr>
        <w:t>“经典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8"/>
        </w:rPr>
        <w:t>美术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8"/>
        </w:rPr>
        <w:t>作品目录”将在参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8"/>
        </w:rPr>
        <w:t>展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8"/>
        </w:rPr>
        <w:t>教师名单确定后提供。</w:t>
      </w:r>
    </w:p>
    <w:p w:rsidR="007C3993" w:rsidRDefault="00441DE8">
      <w:pPr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四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、社会实践</w:t>
      </w:r>
    </w:p>
    <w:p w:rsidR="007C3993" w:rsidRDefault="00441DE8">
      <w:pPr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统一组织，内容为现场观摩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成都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市中小学美术课堂教学、课外活动和校园文化建设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等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。</w:t>
      </w:r>
    </w:p>
    <w:p w:rsidR="007C3993" w:rsidRDefault="00441DE8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五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报名要求</w:t>
      </w:r>
    </w:p>
    <w:p w:rsidR="007C3993" w:rsidRDefault="00441DE8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各省级教育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行政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部门登陆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http://39.98.68.72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入“全国高校美术教育专业本科学生和教师基本功展示”平台</w:t>
      </w:r>
      <w:hyperlink r:id="rId7" w:history="1"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，填报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参展师生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信息、导出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PDF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版本打印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并加盖省级教育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行政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部门公章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后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，扫描上传。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教育部直属师范大学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报送</w:t>
        </w:r>
        <w:r>
          <w:rPr>
            <w:rFonts w:ascii="Times New Roman" w:eastAsia="仿宋_GB2312" w:hAnsi="Times New Roman" w:hint="eastAsia"/>
            <w:color w:val="000000"/>
            <w:kern w:val="0"/>
            <w:sz w:val="32"/>
            <w:szCs w:val="32"/>
          </w:rPr>
          <w:t>材料</w:t>
        </w:r>
        <w:r>
          <w:rPr>
            <w:rFonts w:ascii="Times New Roman" w:eastAsia="仿宋_GB2312" w:hAnsi="Times New Roman"/>
            <w:color w:val="000000"/>
            <w:kern w:val="0"/>
            <w:sz w:val="32"/>
            <w:szCs w:val="32"/>
          </w:rPr>
          <w:t>可直接加盖学校公章。</w:t>
        </w:r>
      </w:hyperlink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教学展示（微课）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提交材料需在系统同步上传提交。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技术支持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向老师，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19180711683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sectPr w:rsidR="007C3993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E8" w:rsidRDefault="00441DE8">
      <w:r>
        <w:separator/>
      </w:r>
    </w:p>
  </w:endnote>
  <w:endnote w:type="continuationSeparator" w:id="0">
    <w:p w:rsidR="00441DE8" w:rsidRDefault="0044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93" w:rsidRDefault="00441DE8">
    <w:pPr>
      <w:pStyle w:val="a6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84F88" w:rsidRPr="00784F88">
      <w:rPr>
        <w:rFonts w:ascii="Calibri" w:hAnsi="Calibri"/>
        <w:noProof/>
      </w:rPr>
      <w:t>3</w:t>
    </w:r>
    <w:r>
      <w:rPr>
        <w:rFonts w:ascii="Times New Roman" w:hAnsi="Times New Roman"/>
      </w:rPr>
      <w:fldChar w:fldCharType="end"/>
    </w:r>
  </w:p>
  <w:p w:rsidR="007C3993" w:rsidRDefault="007C39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E8" w:rsidRDefault="00441DE8">
      <w:r>
        <w:separator/>
      </w:r>
    </w:p>
  </w:footnote>
  <w:footnote w:type="continuationSeparator" w:id="0">
    <w:p w:rsidR="00441DE8" w:rsidRDefault="0044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9960"/>
    <w:multiLevelType w:val="singleLevel"/>
    <w:tmpl w:val="697899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lYjkxOWIyOGU0YTlmMmE5ZTMyNDFiZmViMzVjMzAifQ=="/>
    <w:docVar w:name="KSO_WPS_MARK_KEY" w:val="b3c42dd2-a74b-4275-9ae0-9cb30b6b1a9d"/>
  </w:docVars>
  <w:rsids>
    <w:rsidRoot w:val="00D75BF5"/>
    <w:rsid w:val="0000705C"/>
    <w:rsid w:val="00014ABD"/>
    <w:rsid w:val="00060901"/>
    <w:rsid w:val="000C5A0F"/>
    <w:rsid w:val="000F189D"/>
    <w:rsid w:val="0010710D"/>
    <w:rsid w:val="00116C8B"/>
    <w:rsid w:val="0011798E"/>
    <w:rsid w:val="0013393E"/>
    <w:rsid w:val="0018597E"/>
    <w:rsid w:val="00195D1F"/>
    <w:rsid w:val="001E2BE3"/>
    <w:rsid w:val="001F2FAA"/>
    <w:rsid w:val="00232EC0"/>
    <w:rsid w:val="00291FB7"/>
    <w:rsid w:val="002B1A8F"/>
    <w:rsid w:val="00323A3E"/>
    <w:rsid w:val="00356754"/>
    <w:rsid w:val="00360084"/>
    <w:rsid w:val="003F06D1"/>
    <w:rsid w:val="003F28AB"/>
    <w:rsid w:val="00441DE8"/>
    <w:rsid w:val="00447A3E"/>
    <w:rsid w:val="00476A3B"/>
    <w:rsid w:val="004B2084"/>
    <w:rsid w:val="004C66EB"/>
    <w:rsid w:val="004F5D3D"/>
    <w:rsid w:val="00510FE3"/>
    <w:rsid w:val="005326E4"/>
    <w:rsid w:val="0053431A"/>
    <w:rsid w:val="00535061"/>
    <w:rsid w:val="0053750E"/>
    <w:rsid w:val="0054421B"/>
    <w:rsid w:val="005514A9"/>
    <w:rsid w:val="005545F6"/>
    <w:rsid w:val="00571BCB"/>
    <w:rsid w:val="005A7334"/>
    <w:rsid w:val="005C0546"/>
    <w:rsid w:val="005D3C6B"/>
    <w:rsid w:val="00604F57"/>
    <w:rsid w:val="00643EE3"/>
    <w:rsid w:val="00655557"/>
    <w:rsid w:val="006653F0"/>
    <w:rsid w:val="006704A8"/>
    <w:rsid w:val="006D2E45"/>
    <w:rsid w:val="006F3929"/>
    <w:rsid w:val="006F6407"/>
    <w:rsid w:val="0070775E"/>
    <w:rsid w:val="007548ED"/>
    <w:rsid w:val="00783B12"/>
    <w:rsid w:val="00784F88"/>
    <w:rsid w:val="007A3D05"/>
    <w:rsid w:val="007B7EB0"/>
    <w:rsid w:val="007C3993"/>
    <w:rsid w:val="0081471C"/>
    <w:rsid w:val="008576D6"/>
    <w:rsid w:val="008617B6"/>
    <w:rsid w:val="00870519"/>
    <w:rsid w:val="00876458"/>
    <w:rsid w:val="00887C8E"/>
    <w:rsid w:val="008D1661"/>
    <w:rsid w:val="008E78CF"/>
    <w:rsid w:val="008F1ABB"/>
    <w:rsid w:val="009064C0"/>
    <w:rsid w:val="00937F4D"/>
    <w:rsid w:val="00954019"/>
    <w:rsid w:val="00963F18"/>
    <w:rsid w:val="0098152C"/>
    <w:rsid w:val="009871F9"/>
    <w:rsid w:val="009B5EB9"/>
    <w:rsid w:val="009C15F7"/>
    <w:rsid w:val="009F6456"/>
    <w:rsid w:val="00A131A8"/>
    <w:rsid w:val="00A21399"/>
    <w:rsid w:val="00A33ED3"/>
    <w:rsid w:val="00A60DEA"/>
    <w:rsid w:val="00A91410"/>
    <w:rsid w:val="00AA36CE"/>
    <w:rsid w:val="00AB2819"/>
    <w:rsid w:val="00AD1F6E"/>
    <w:rsid w:val="00AD5AE9"/>
    <w:rsid w:val="00AD6673"/>
    <w:rsid w:val="00B1155F"/>
    <w:rsid w:val="00B206E0"/>
    <w:rsid w:val="00B360DB"/>
    <w:rsid w:val="00B77FAE"/>
    <w:rsid w:val="00BC523A"/>
    <w:rsid w:val="00BF48EB"/>
    <w:rsid w:val="00BF5EF0"/>
    <w:rsid w:val="00C346F3"/>
    <w:rsid w:val="00C35F67"/>
    <w:rsid w:val="00C45B66"/>
    <w:rsid w:val="00C832D0"/>
    <w:rsid w:val="00CB43F9"/>
    <w:rsid w:val="00CE4E6D"/>
    <w:rsid w:val="00CE642A"/>
    <w:rsid w:val="00CF0168"/>
    <w:rsid w:val="00CF70D2"/>
    <w:rsid w:val="00CF7FFA"/>
    <w:rsid w:val="00D23F58"/>
    <w:rsid w:val="00D75BF5"/>
    <w:rsid w:val="00D779F2"/>
    <w:rsid w:val="00DA0947"/>
    <w:rsid w:val="00DA3DD9"/>
    <w:rsid w:val="00DC4C87"/>
    <w:rsid w:val="00DD39D5"/>
    <w:rsid w:val="00DD55A2"/>
    <w:rsid w:val="00E4310F"/>
    <w:rsid w:val="00E606A0"/>
    <w:rsid w:val="00E66AE2"/>
    <w:rsid w:val="00E8600C"/>
    <w:rsid w:val="00EB0107"/>
    <w:rsid w:val="00EE0F29"/>
    <w:rsid w:val="00EF1565"/>
    <w:rsid w:val="00F1520E"/>
    <w:rsid w:val="00F156F9"/>
    <w:rsid w:val="00F349B7"/>
    <w:rsid w:val="00F80E5C"/>
    <w:rsid w:val="00F876C9"/>
    <w:rsid w:val="00F910FE"/>
    <w:rsid w:val="00FA3C62"/>
    <w:rsid w:val="01DE1B41"/>
    <w:rsid w:val="028A3700"/>
    <w:rsid w:val="04F61D66"/>
    <w:rsid w:val="04F729CE"/>
    <w:rsid w:val="06022592"/>
    <w:rsid w:val="06415E95"/>
    <w:rsid w:val="070E2BB5"/>
    <w:rsid w:val="0C491737"/>
    <w:rsid w:val="0CEE487B"/>
    <w:rsid w:val="0D115D02"/>
    <w:rsid w:val="0D9053A3"/>
    <w:rsid w:val="0DC03A28"/>
    <w:rsid w:val="0F0B2C55"/>
    <w:rsid w:val="113C6382"/>
    <w:rsid w:val="119914E1"/>
    <w:rsid w:val="140F033B"/>
    <w:rsid w:val="14860174"/>
    <w:rsid w:val="14E62EAC"/>
    <w:rsid w:val="1696332A"/>
    <w:rsid w:val="194C5D4C"/>
    <w:rsid w:val="1A7257B0"/>
    <w:rsid w:val="1AC84009"/>
    <w:rsid w:val="216635B4"/>
    <w:rsid w:val="219C448E"/>
    <w:rsid w:val="21E71F8A"/>
    <w:rsid w:val="22601A14"/>
    <w:rsid w:val="25B43838"/>
    <w:rsid w:val="2940223A"/>
    <w:rsid w:val="2A654D0F"/>
    <w:rsid w:val="2C512F48"/>
    <w:rsid w:val="2CD676C8"/>
    <w:rsid w:val="2EE6208E"/>
    <w:rsid w:val="2EEE363B"/>
    <w:rsid w:val="30BA24CE"/>
    <w:rsid w:val="3265234C"/>
    <w:rsid w:val="32994E83"/>
    <w:rsid w:val="368220F2"/>
    <w:rsid w:val="377A7753"/>
    <w:rsid w:val="387C7014"/>
    <w:rsid w:val="39DF2565"/>
    <w:rsid w:val="39F94D7A"/>
    <w:rsid w:val="3A576DF2"/>
    <w:rsid w:val="41FD4D22"/>
    <w:rsid w:val="43F53E65"/>
    <w:rsid w:val="45F56D5A"/>
    <w:rsid w:val="47F959F2"/>
    <w:rsid w:val="4B1C2378"/>
    <w:rsid w:val="4B8D6F2E"/>
    <w:rsid w:val="4C6761AB"/>
    <w:rsid w:val="4D6F73AA"/>
    <w:rsid w:val="4D8C37A4"/>
    <w:rsid w:val="4E563BD2"/>
    <w:rsid w:val="4EEE078F"/>
    <w:rsid w:val="4FAF4E5E"/>
    <w:rsid w:val="50511559"/>
    <w:rsid w:val="506851C3"/>
    <w:rsid w:val="50CB6904"/>
    <w:rsid w:val="51283FF6"/>
    <w:rsid w:val="51710965"/>
    <w:rsid w:val="528F0072"/>
    <w:rsid w:val="53184B90"/>
    <w:rsid w:val="5446685E"/>
    <w:rsid w:val="54A624DB"/>
    <w:rsid w:val="56B90D23"/>
    <w:rsid w:val="5AC43C55"/>
    <w:rsid w:val="5B204DE6"/>
    <w:rsid w:val="5CC050FB"/>
    <w:rsid w:val="5CF46E33"/>
    <w:rsid w:val="5D514877"/>
    <w:rsid w:val="5DA90677"/>
    <w:rsid w:val="63DA4D90"/>
    <w:rsid w:val="63FC2C65"/>
    <w:rsid w:val="64C73242"/>
    <w:rsid w:val="6872548D"/>
    <w:rsid w:val="69145D21"/>
    <w:rsid w:val="69DC353A"/>
    <w:rsid w:val="6B3D508E"/>
    <w:rsid w:val="6BF1329A"/>
    <w:rsid w:val="6DAF483F"/>
    <w:rsid w:val="6EDD1C10"/>
    <w:rsid w:val="6EEF0C42"/>
    <w:rsid w:val="702655B5"/>
    <w:rsid w:val="70A70D44"/>
    <w:rsid w:val="72886A11"/>
    <w:rsid w:val="72FA3F87"/>
    <w:rsid w:val="734E5926"/>
    <w:rsid w:val="78E92BCD"/>
    <w:rsid w:val="79B374DF"/>
    <w:rsid w:val="79EB7E04"/>
    <w:rsid w:val="7B363DA5"/>
    <w:rsid w:val="7B57151D"/>
    <w:rsid w:val="7C3D7C78"/>
    <w:rsid w:val="7ED03198"/>
    <w:rsid w:val="7F712F56"/>
    <w:rsid w:val="7F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5C3B8-018F-45B5-A2A2-AA54F7AE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iyusc.com&#65292;&#36873;&#25321;&#36827;&#20837;&#8220;&#32654;&#26415;&#25945;&#32946;&#31867;&#22823;&#23398;&#29983;&#22522;&#26412;&#21151;&#23637;&#31034;&#8221;&#25253;&#21517;&#30028;&#38754;&#65292;&#22635;&#25253;&#25110;&#23548;&#20837;&#12298;2023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>China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谢沂楠</cp:lastModifiedBy>
  <cp:revision>2</cp:revision>
  <cp:lastPrinted>2023-09-27T01:13:00Z</cp:lastPrinted>
  <dcterms:created xsi:type="dcterms:W3CDTF">2023-10-11T02:34:00Z</dcterms:created>
  <dcterms:modified xsi:type="dcterms:W3CDTF">2023-10-11T02:34:00Z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AD4A700D83C64D7AA273BC95DE85B51E_13</vt:lpwstr>
  </property>
</Properties>
</file>